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“THAT IS WHY I HAVE COME”</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Mark 1:21-39</w:t>
        <w:tab/>
        <w:tab/>
        <w:tab/>
        <w:tab/>
        <w:tab/>
        <w:tab/>
        <w:tab/>
        <w:tab/>
        <w:tab/>
        <w:tab/>
        <w:t xml:space="preserve">Lesson 2</w:t>
      </w:r>
    </w:p>
    <w:p w:rsidR="00000000" w:rsidDel="00000000" w:rsidP="00000000" w:rsidRDefault="00000000" w:rsidRPr="00000000">
      <w:pPr>
        <w:keepNext w:val="0"/>
        <w:keepLines w:val="0"/>
        <w:widowControl w:val="0"/>
        <w:contextualSpacing w:val="0"/>
      </w:pPr>
      <w:r w:rsidDel="00000000" w:rsidR="00000000" w:rsidRPr="00000000">
        <w:rPr>
          <w:rtl w:val="0"/>
        </w:rPr>
        <w:t xml:space="preserve">Key Verse: 1:38</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 On the Sabbath where did Jesus go and what did he do? (21) How did people respond? (22) What gave Jesus such power and authority? (1:10-13; cf. Mt23:1-7) Why was the impure spirit so afraid of Jesus? (23-24) What did Jesus say and do, and why? (25-26) Why were the people so impressed with his public ministry? (27-28)</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2. Where did Jesus go privately with his disciples? (29) What situation did he find there? (30) Why might Simon’s mother-in-law have been upset? How did Jesus help her, and what can we learn here? (31) What happened after sunset? (32-33) How did Jesus respond to these people and why? (34) How did his healings characterize God’s kingdom?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 After the previous day’s events, what did Jesus do? (35) Why was this time of personal prayer so important to him, and what can we learn from this? When his disciples found him, what did they say? (36-37) Why were they so excited?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 How did Jesus respond to Simon and his companions? (38) What does this suggest about his prayer? By choosing to go to the nearby villages, what was Jesus foregoing in Capernaum? Why did he refocus his ministry on preaching? (38b) What things characterized his ministry in Galilee? (39) What do you think he was preaching? (1:15)</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 What can we learn from this day in the life of Jesus about his teaching/preaching? His healings? His prayer life? The purpose of his coming?</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