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24060B">
      <w:pPr>
        <w:rPr>
          <w:rFonts w:ascii="Arial" w:hAnsi="Arial" w:cs="Arial"/>
          <w:sz w:val="22"/>
          <w:szCs w:val="22"/>
        </w:rPr>
      </w:pPr>
    </w:p>
    <w:p w:rsidR="001E2EF3" w:rsidRDefault="001E2EF3">
      <w:pPr>
        <w:rPr>
          <w:rFonts w:ascii="Arial" w:hAnsi="Arial" w:cs="Arial"/>
          <w:sz w:val="22"/>
          <w:szCs w:val="22"/>
        </w:rPr>
      </w:pPr>
    </w:p>
    <w:p w:rsidR="0007025D" w:rsidRDefault="0007025D" w:rsidP="0007025D">
      <w:pPr>
        <w:jc w:val="center"/>
        <w:rPr>
          <w:rFonts w:ascii="Arial" w:hAnsi="Arial" w:cs="Arial"/>
          <w:sz w:val="22"/>
          <w:szCs w:val="22"/>
        </w:rPr>
      </w:pPr>
      <w:r>
        <w:rPr>
          <w:rFonts w:ascii="Arial" w:hAnsi="Arial" w:cs="Arial"/>
          <w:sz w:val="22"/>
          <w:szCs w:val="22"/>
        </w:rPr>
        <w:t>“A NEW HEAVEN AND A NEW EARTH”</w:t>
      </w:r>
    </w:p>
    <w:p w:rsidR="0007025D" w:rsidRDefault="0007025D">
      <w:pPr>
        <w:rPr>
          <w:rFonts w:ascii="Arial" w:hAnsi="Arial" w:cs="Arial"/>
          <w:sz w:val="22"/>
          <w:szCs w:val="22"/>
        </w:rPr>
      </w:pPr>
    </w:p>
    <w:p w:rsidR="001E2EF3" w:rsidRDefault="001E2EF3">
      <w:pPr>
        <w:rPr>
          <w:rFonts w:ascii="Arial" w:hAnsi="Arial" w:cs="Arial"/>
          <w:sz w:val="22"/>
          <w:szCs w:val="22"/>
        </w:rPr>
      </w:pPr>
      <w:r>
        <w:rPr>
          <w:rFonts w:ascii="Arial" w:hAnsi="Arial" w:cs="Arial"/>
          <w:sz w:val="22"/>
          <w:szCs w:val="22"/>
        </w:rPr>
        <w:t>2 Peter 3:1–18</w:t>
      </w:r>
    </w:p>
    <w:p w:rsidR="001E2EF3" w:rsidRDefault="001E2EF3">
      <w:pPr>
        <w:rPr>
          <w:rFonts w:ascii="Arial" w:hAnsi="Arial" w:cs="Arial"/>
          <w:sz w:val="22"/>
          <w:szCs w:val="22"/>
        </w:rPr>
      </w:pPr>
      <w:r>
        <w:rPr>
          <w:rFonts w:ascii="Arial" w:hAnsi="Arial" w:cs="Arial"/>
          <w:sz w:val="22"/>
          <w:szCs w:val="22"/>
        </w:rPr>
        <w:t>Key Verse: 3:</w:t>
      </w:r>
      <w:r w:rsidR="0007025D">
        <w:rPr>
          <w:rFonts w:ascii="Arial" w:hAnsi="Arial" w:cs="Arial"/>
          <w:sz w:val="22"/>
          <w:szCs w:val="22"/>
        </w:rPr>
        <w:t>13</w:t>
      </w:r>
    </w:p>
    <w:p w:rsidR="001E2EF3" w:rsidRDefault="001E2EF3">
      <w:pPr>
        <w:rPr>
          <w:rFonts w:ascii="Arial" w:hAnsi="Arial" w:cs="Arial"/>
          <w:sz w:val="22"/>
          <w:szCs w:val="22"/>
        </w:rPr>
      </w:pPr>
    </w:p>
    <w:p w:rsidR="001E2EF3" w:rsidRDefault="001E2EF3" w:rsidP="001E2EF3">
      <w:pPr>
        <w:pStyle w:val="ListParagraph"/>
        <w:numPr>
          <w:ilvl w:val="0"/>
          <w:numId w:val="1"/>
        </w:numPr>
        <w:rPr>
          <w:rFonts w:ascii="Arial" w:hAnsi="Arial" w:cs="Arial"/>
          <w:sz w:val="22"/>
          <w:szCs w:val="22"/>
        </w:rPr>
      </w:pPr>
      <w:r>
        <w:rPr>
          <w:rFonts w:ascii="Arial" w:hAnsi="Arial" w:cs="Arial"/>
          <w:sz w:val="22"/>
          <w:szCs w:val="22"/>
        </w:rPr>
        <w:t xml:space="preserve"> What was the author’s purpose in writing these letters? (1,2; cf. 1:13) In light of these verses, what is “wholesome thinking,” and why do we need it? </w:t>
      </w:r>
    </w:p>
    <w:p w:rsidR="001E2EF3" w:rsidRDefault="001E2EF3" w:rsidP="001E2EF3">
      <w:pPr>
        <w:rPr>
          <w:rFonts w:ascii="Arial" w:hAnsi="Arial" w:cs="Arial"/>
          <w:sz w:val="22"/>
          <w:szCs w:val="22"/>
        </w:rPr>
      </w:pPr>
    </w:p>
    <w:p w:rsidR="001E2EF3" w:rsidRDefault="001E2EF3" w:rsidP="001E2EF3">
      <w:pPr>
        <w:pStyle w:val="ListParagraph"/>
        <w:numPr>
          <w:ilvl w:val="0"/>
          <w:numId w:val="1"/>
        </w:numPr>
        <w:rPr>
          <w:rFonts w:ascii="Arial" w:hAnsi="Arial" w:cs="Arial"/>
          <w:sz w:val="22"/>
          <w:szCs w:val="22"/>
        </w:rPr>
      </w:pPr>
      <w:r>
        <w:rPr>
          <w:rFonts w:ascii="Arial" w:hAnsi="Arial" w:cs="Arial"/>
          <w:sz w:val="22"/>
          <w:szCs w:val="22"/>
        </w:rPr>
        <w:t xml:space="preserve"> What did he predict? (3,4; cf. Jude 18) </w:t>
      </w:r>
      <w:r w:rsidR="00C65E08">
        <w:rPr>
          <w:rFonts w:ascii="Arial" w:hAnsi="Arial" w:cs="Arial"/>
          <w:sz w:val="22"/>
          <w:szCs w:val="22"/>
        </w:rPr>
        <w:t>What do these scoffers deliberately forget? (5) How is the role of God’s word emphasized? (cf. Heb11:3) How was the ancient world destroyed? (6) What will happen to it at the end? (7)</w:t>
      </w:r>
    </w:p>
    <w:p w:rsidR="00C65E08" w:rsidRPr="00C65E08" w:rsidRDefault="00C65E08" w:rsidP="00C65E08">
      <w:pPr>
        <w:pStyle w:val="ListParagraph"/>
        <w:rPr>
          <w:rFonts w:ascii="Arial" w:hAnsi="Arial" w:cs="Arial"/>
          <w:sz w:val="22"/>
          <w:szCs w:val="22"/>
        </w:rPr>
      </w:pPr>
    </w:p>
    <w:p w:rsidR="00C65E08" w:rsidRDefault="00C65E08" w:rsidP="001E2EF3">
      <w:pPr>
        <w:pStyle w:val="ListParagraph"/>
        <w:numPr>
          <w:ilvl w:val="0"/>
          <w:numId w:val="1"/>
        </w:numPr>
        <w:rPr>
          <w:rFonts w:ascii="Arial" w:hAnsi="Arial" w:cs="Arial"/>
          <w:sz w:val="22"/>
          <w:szCs w:val="22"/>
        </w:rPr>
      </w:pPr>
      <w:r>
        <w:rPr>
          <w:rFonts w:ascii="Arial" w:hAnsi="Arial" w:cs="Arial"/>
          <w:sz w:val="22"/>
          <w:szCs w:val="22"/>
        </w:rPr>
        <w:t xml:space="preserve"> What criticism does the author anticipate, and what lessons can we learn here about God? (8,9) </w:t>
      </w:r>
    </w:p>
    <w:p w:rsidR="00C65E08" w:rsidRPr="00C65E08" w:rsidRDefault="00C65E08" w:rsidP="00C65E08">
      <w:pPr>
        <w:pStyle w:val="ListParagraph"/>
        <w:rPr>
          <w:rFonts w:ascii="Arial" w:hAnsi="Arial" w:cs="Arial"/>
          <w:sz w:val="22"/>
          <w:szCs w:val="22"/>
        </w:rPr>
      </w:pPr>
    </w:p>
    <w:p w:rsidR="00C65E08" w:rsidRDefault="00C65E08" w:rsidP="001E2EF3">
      <w:pPr>
        <w:pStyle w:val="ListParagraph"/>
        <w:numPr>
          <w:ilvl w:val="0"/>
          <w:numId w:val="1"/>
        </w:numPr>
        <w:rPr>
          <w:rFonts w:ascii="Arial" w:hAnsi="Arial" w:cs="Arial"/>
          <w:sz w:val="22"/>
          <w:szCs w:val="22"/>
        </w:rPr>
      </w:pPr>
      <w:r>
        <w:rPr>
          <w:rFonts w:ascii="Arial" w:hAnsi="Arial" w:cs="Arial"/>
          <w:sz w:val="22"/>
          <w:szCs w:val="22"/>
        </w:rPr>
        <w:t xml:space="preserve"> What is “the day of the Lord</w:t>
      </w:r>
      <w:r w:rsidR="005C1563">
        <w:rPr>
          <w:rFonts w:ascii="Arial" w:hAnsi="Arial" w:cs="Arial"/>
          <w:sz w:val="22"/>
          <w:szCs w:val="22"/>
        </w:rPr>
        <w:t xml:space="preserve">” and </w:t>
      </w:r>
      <w:r>
        <w:rPr>
          <w:rFonts w:ascii="Arial" w:hAnsi="Arial" w:cs="Arial"/>
          <w:sz w:val="22"/>
          <w:szCs w:val="22"/>
        </w:rPr>
        <w:t>how is it described? (10</w:t>
      </w:r>
      <w:r w:rsidR="005C1563">
        <w:rPr>
          <w:rFonts w:ascii="Arial" w:hAnsi="Arial" w:cs="Arial"/>
          <w:sz w:val="22"/>
          <w:szCs w:val="22"/>
        </w:rPr>
        <w:t>,12b) Why will it come “like a thief”? (</w:t>
      </w:r>
      <w:r>
        <w:rPr>
          <w:rFonts w:ascii="Arial" w:hAnsi="Arial" w:cs="Arial"/>
          <w:sz w:val="22"/>
          <w:szCs w:val="22"/>
        </w:rPr>
        <w:t>Mt24:42,43; 1Th5:2; Rev3:3; 16</w:t>
      </w:r>
      <w:r w:rsidR="005C1563">
        <w:rPr>
          <w:rFonts w:ascii="Arial" w:hAnsi="Arial" w:cs="Arial"/>
          <w:sz w:val="22"/>
          <w:szCs w:val="22"/>
        </w:rPr>
        <w:t>:15</w:t>
      </w:r>
      <w:r>
        <w:rPr>
          <w:rFonts w:ascii="Arial" w:hAnsi="Arial" w:cs="Arial"/>
          <w:sz w:val="22"/>
          <w:szCs w:val="22"/>
        </w:rPr>
        <w:t xml:space="preserve">) </w:t>
      </w:r>
    </w:p>
    <w:p w:rsidR="005C1563" w:rsidRPr="005C1563" w:rsidRDefault="005C1563" w:rsidP="005C1563">
      <w:pPr>
        <w:pStyle w:val="ListParagraph"/>
        <w:rPr>
          <w:rFonts w:ascii="Arial" w:hAnsi="Arial" w:cs="Arial"/>
          <w:sz w:val="22"/>
          <w:szCs w:val="22"/>
        </w:rPr>
      </w:pPr>
    </w:p>
    <w:p w:rsidR="005C1563" w:rsidRDefault="005C1563" w:rsidP="001E2EF3">
      <w:pPr>
        <w:pStyle w:val="ListParagraph"/>
        <w:numPr>
          <w:ilvl w:val="0"/>
          <w:numId w:val="1"/>
        </w:numPr>
        <w:rPr>
          <w:rFonts w:ascii="Arial" w:hAnsi="Arial" w:cs="Arial"/>
          <w:sz w:val="22"/>
          <w:szCs w:val="22"/>
        </w:rPr>
      </w:pPr>
      <w:r>
        <w:rPr>
          <w:rFonts w:ascii="Arial" w:hAnsi="Arial" w:cs="Arial"/>
          <w:sz w:val="22"/>
          <w:szCs w:val="22"/>
        </w:rPr>
        <w:t xml:space="preserve"> In light of the destruction of all things, what kind of people ought we to be? </w:t>
      </w:r>
      <w:r w:rsidR="00882161">
        <w:rPr>
          <w:rFonts w:ascii="Arial" w:hAnsi="Arial" w:cs="Arial"/>
          <w:sz w:val="22"/>
          <w:szCs w:val="22"/>
        </w:rPr>
        <w:t>(11b,14b) Note the repetition of “looking forward to” (12</w:t>
      </w:r>
      <w:r w:rsidR="0007025D">
        <w:rPr>
          <w:rFonts w:ascii="Arial" w:hAnsi="Arial" w:cs="Arial"/>
          <w:sz w:val="22"/>
          <w:szCs w:val="22"/>
        </w:rPr>
        <w:t>–</w:t>
      </w:r>
      <w:r w:rsidR="00882161">
        <w:rPr>
          <w:rFonts w:ascii="Arial" w:hAnsi="Arial" w:cs="Arial"/>
          <w:sz w:val="22"/>
          <w:szCs w:val="22"/>
        </w:rPr>
        <w:t>14)</w:t>
      </w:r>
      <w:r w:rsidR="00E71E0E">
        <w:rPr>
          <w:rFonts w:ascii="Arial" w:hAnsi="Arial" w:cs="Arial"/>
          <w:sz w:val="22"/>
          <w:szCs w:val="22"/>
        </w:rPr>
        <w:t>; why do we not dread that day?</w:t>
      </w:r>
      <w:r w:rsidR="0007025D">
        <w:rPr>
          <w:rFonts w:ascii="Arial" w:hAnsi="Arial" w:cs="Arial"/>
          <w:sz w:val="22"/>
          <w:szCs w:val="22"/>
        </w:rPr>
        <w:t xml:space="preserve"> Read verse 13. Wh</w:t>
      </w:r>
      <w:r w:rsidR="00E71E0E">
        <w:rPr>
          <w:rFonts w:ascii="Arial" w:hAnsi="Arial" w:cs="Arial"/>
          <w:sz w:val="22"/>
          <w:szCs w:val="22"/>
        </w:rPr>
        <w:t>y</w:t>
      </w:r>
      <w:r w:rsidR="0007025D">
        <w:rPr>
          <w:rFonts w:ascii="Arial" w:hAnsi="Arial" w:cs="Arial"/>
          <w:sz w:val="22"/>
          <w:szCs w:val="22"/>
        </w:rPr>
        <w:t xml:space="preserve"> is </w:t>
      </w:r>
      <w:r w:rsidR="00E71E0E">
        <w:rPr>
          <w:rFonts w:ascii="Arial" w:hAnsi="Arial" w:cs="Arial"/>
          <w:sz w:val="22"/>
          <w:szCs w:val="22"/>
        </w:rPr>
        <w:t xml:space="preserve">this </w:t>
      </w:r>
      <w:r w:rsidR="0007025D">
        <w:rPr>
          <w:rFonts w:ascii="Arial" w:hAnsi="Arial" w:cs="Arial"/>
          <w:sz w:val="22"/>
          <w:szCs w:val="22"/>
        </w:rPr>
        <w:t>our hope</w:t>
      </w:r>
      <w:r>
        <w:rPr>
          <w:rFonts w:ascii="Arial" w:hAnsi="Arial" w:cs="Arial"/>
          <w:sz w:val="22"/>
          <w:szCs w:val="22"/>
        </w:rPr>
        <w:t>? (cf. Isa65:17; 66:22; Rev21:1)</w:t>
      </w:r>
      <w:bookmarkStart w:id="0" w:name="_GoBack"/>
      <w:bookmarkEnd w:id="0"/>
    </w:p>
    <w:p w:rsidR="0007025D" w:rsidRPr="0007025D" w:rsidRDefault="0007025D" w:rsidP="0007025D">
      <w:pPr>
        <w:pStyle w:val="ListParagraph"/>
        <w:rPr>
          <w:rFonts w:ascii="Arial" w:hAnsi="Arial" w:cs="Arial"/>
          <w:sz w:val="22"/>
          <w:szCs w:val="22"/>
        </w:rPr>
      </w:pPr>
    </w:p>
    <w:p w:rsidR="0007025D" w:rsidRPr="001E2EF3" w:rsidRDefault="0007025D" w:rsidP="001E2EF3">
      <w:pPr>
        <w:pStyle w:val="ListParagraph"/>
        <w:numPr>
          <w:ilvl w:val="0"/>
          <w:numId w:val="1"/>
        </w:numPr>
        <w:rPr>
          <w:rFonts w:ascii="Arial" w:hAnsi="Arial" w:cs="Arial"/>
          <w:sz w:val="22"/>
          <w:szCs w:val="22"/>
        </w:rPr>
      </w:pPr>
      <w:r>
        <w:rPr>
          <w:rFonts w:ascii="Arial" w:hAnsi="Arial" w:cs="Arial"/>
          <w:sz w:val="22"/>
          <w:szCs w:val="22"/>
        </w:rPr>
        <w:t xml:space="preserve"> Why does the author mention “the Lord’s patience” again? (15a,9) What does he say about Paul’s writing, and why? (15b,16) What is his final admonishment? (17,18) What does it mean to “grow in the grace and knowledge of our Lord and Savior Jesus Christ,” and how can we? </w:t>
      </w:r>
    </w:p>
    <w:sectPr w:rsidR="0007025D" w:rsidRPr="001E2EF3"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91A43"/>
    <w:multiLevelType w:val="hybridMultilevel"/>
    <w:tmpl w:val="4882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F3"/>
    <w:rsid w:val="0007025D"/>
    <w:rsid w:val="001E2EF3"/>
    <w:rsid w:val="0024060B"/>
    <w:rsid w:val="003F0DA8"/>
    <w:rsid w:val="005C1563"/>
    <w:rsid w:val="00882161"/>
    <w:rsid w:val="00A74893"/>
    <w:rsid w:val="00C65E08"/>
    <w:rsid w:val="00E7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F3327"/>
  <w15:chartTrackingRefBased/>
  <w15:docId w15:val="{E388E00D-CF5B-0147-90A8-773BBF8C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2019-08-26T16:27:00Z</dcterms:created>
  <dcterms:modified xsi:type="dcterms:W3CDTF">2019-08-26T17:30:00Z</dcterms:modified>
</cp:coreProperties>
</file>